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B522"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395675BB"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4E01B5">
        <w:rPr>
          <w:rFonts w:ascii="Corbel" w:hAnsi="Corbel"/>
          <w:i/>
          <w:smallCaps/>
          <w:sz w:val="24"/>
          <w:szCs w:val="24"/>
        </w:rPr>
        <w:t>2022-2025</w:t>
      </w:r>
    </w:p>
    <w:p w14:paraId="43DCA3C0" w14:textId="485730A6"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w:t>
      </w:r>
      <w:r w:rsidR="004E01B5">
        <w:rPr>
          <w:rFonts w:ascii="Corbel" w:hAnsi="Corbel"/>
          <w:sz w:val="20"/>
          <w:szCs w:val="20"/>
        </w:rPr>
        <w:t>4</w:t>
      </w:r>
      <w:r w:rsidR="00042C67">
        <w:rPr>
          <w:rFonts w:ascii="Corbel" w:hAnsi="Corbel"/>
          <w:sz w:val="20"/>
          <w:szCs w:val="20"/>
        </w:rPr>
        <w:t>/202</w:t>
      </w:r>
      <w:r w:rsidR="004E01B5">
        <w:rPr>
          <w:rFonts w:ascii="Corbel" w:hAnsi="Corbel"/>
          <w:sz w:val="20"/>
          <w:szCs w:val="20"/>
        </w:rPr>
        <w:t>5</w:t>
      </w:r>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22EC5C8B" w:rsidR="0085747A" w:rsidRPr="009C54AE" w:rsidRDefault="004F64CA" w:rsidP="009C54AE">
            <w:pPr>
              <w:pStyle w:val="Odpowiedzi"/>
              <w:spacing w:before="100" w:beforeAutospacing="1" w:after="100" w:afterAutospacing="1"/>
              <w:rPr>
                <w:rFonts w:ascii="Corbel" w:hAnsi="Corbel"/>
                <w:b w:val="0"/>
                <w:sz w:val="24"/>
                <w:szCs w:val="24"/>
              </w:rPr>
            </w:pPr>
            <w:r>
              <w:rPr>
                <w:rFonts w:ascii="Corbel" w:hAnsi="Corbel"/>
                <w:b w:val="0"/>
                <w:sz w:val="24"/>
                <w:szCs w:val="24"/>
              </w:rPr>
              <w:t>Gospodarka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661D2EF8" w:rsidR="0085747A" w:rsidRPr="009C54AE" w:rsidRDefault="004F64CA" w:rsidP="009C54AE">
            <w:pPr>
              <w:pStyle w:val="Odpowiedzi"/>
              <w:spacing w:before="100" w:beforeAutospacing="1" w:after="100" w:afterAutospacing="1"/>
              <w:rPr>
                <w:rFonts w:ascii="Corbel" w:hAnsi="Corbel"/>
                <w:b w:val="0"/>
                <w:sz w:val="24"/>
                <w:szCs w:val="24"/>
              </w:rPr>
            </w:pPr>
            <w:r w:rsidRPr="006E3F00">
              <w:rPr>
                <w:rFonts w:ascii="Corbel" w:hAnsi="Corbel"/>
                <w:b w:val="0"/>
                <w:sz w:val="24"/>
                <w:szCs w:val="24"/>
              </w:rPr>
              <w:t>E/I/EP/C-1.1</w:t>
            </w:r>
            <w:r w:rsidR="00D10AD0">
              <w:rPr>
                <w:rFonts w:ascii="Corbel" w:hAnsi="Corbel"/>
                <w:b w:val="0"/>
                <w:sz w:val="24"/>
                <w:szCs w:val="24"/>
              </w:rPr>
              <w:t>1</w:t>
            </w:r>
            <w:r w:rsidRPr="006E3F00">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02266F66"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071E2EB0"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III/5</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5279B891" w:rsidR="00015B8F" w:rsidRPr="009C54AE" w:rsidRDefault="004F64CA" w:rsidP="00042C67">
            <w:pPr>
              <w:pStyle w:val="centralniewrubryce"/>
              <w:spacing w:before="0" w:after="0"/>
              <w:rPr>
                <w:rFonts w:ascii="Corbel" w:hAnsi="Corbel"/>
                <w:sz w:val="24"/>
                <w:szCs w:val="24"/>
              </w:rPr>
            </w:pPr>
            <w:r>
              <w:rPr>
                <w:rFonts w:ascii="Corbel" w:hAnsi="Corbel"/>
                <w:sz w:val="24"/>
                <w:szCs w:val="24"/>
              </w:rPr>
              <w:t>5</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494AB7CB" w:rsidR="00015B8F" w:rsidRPr="009C54AE" w:rsidRDefault="004F64CA"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2AA7A01" w:rsidR="00015B8F" w:rsidRPr="009C54AE" w:rsidRDefault="004F64CA" w:rsidP="009C54AE">
            <w:pPr>
              <w:pStyle w:val="centralniewrubryce"/>
              <w:spacing w:before="0" w:after="0"/>
              <w:rPr>
                <w:rFonts w:ascii="Corbel" w:hAnsi="Corbel"/>
                <w:sz w:val="24"/>
                <w:szCs w:val="24"/>
              </w:rPr>
            </w:pPr>
            <w:r>
              <w:rPr>
                <w:rFonts w:ascii="Corbel" w:hAnsi="Corbel"/>
                <w:sz w:val="24"/>
                <w:szCs w:val="24"/>
              </w:rPr>
              <w:t>2</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7434717" w14:textId="77777777" w:rsidTr="00745302">
        <w:tc>
          <w:tcPr>
            <w:tcW w:w="9670" w:type="dxa"/>
          </w:tcPr>
          <w:p w14:paraId="04D0546B" w14:textId="1F5E093B"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metod oceny projektów gospodarczych.</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4F64CA" w:rsidRPr="001402B1" w14:paraId="43B775B3" w14:textId="77777777" w:rsidTr="0009063E">
        <w:tc>
          <w:tcPr>
            <w:tcW w:w="851"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819" w:type="dxa"/>
            <w:vAlign w:val="center"/>
          </w:tcPr>
          <w:p w14:paraId="2D698246"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Zapoznanie studentów z zagadnieniami dotyczącymi gospodarki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p>
        </w:tc>
      </w:tr>
      <w:tr w:rsidR="004F64CA" w:rsidRPr="001402B1" w14:paraId="0ADDABC4" w14:textId="77777777" w:rsidTr="0009063E">
        <w:tc>
          <w:tcPr>
            <w:tcW w:w="851"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819" w:type="dxa"/>
            <w:vAlign w:val="center"/>
          </w:tcPr>
          <w:p w14:paraId="40EACD95"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Przyswojenie przez studentów podstawowych zagadnień dotyczących obrotu, zarządzania i wyceny nieruchomości.</w:t>
            </w:r>
          </w:p>
        </w:tc>
      </w:tr>
      <w:tr w:rsidR="004F64CA" w:rsidRPr="001402B1" w14:paraId="486F4B7F" w14:textId="77777777" w:rsidTr="0009063E">
        <w:tc>
          <w:tcPr>
            <w:tcW w:w="851"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819" w:type="dxa"/>
            <w:vAlign w:val="center"/>
          </w:tcPr>
          <w:p w14:paraId="7EC43697"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Poznanie przez studentów instrumentów służących do finansowania nieruchomości.</w:t>
            </w:r>
          </w:p>
        </w:tc>
      </w:tr>
      <w:tr w:rsidR="004F64CA" w:rsidRPr="001402B1" w14:paraId="68BC9A71" w14:textId="77777777" w:rsidTr="0009063E">
        <w:tc>
          <w:tcPr>
            <w:tcW w:w="851"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819" w:type="dxa"/>
            <w:vAlign w:val="center"/>
          </w:tcPr>
          <w:p w14:paraId="2F97AC60"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Wypracowanie umiejętności zastosowania wybranych metod wyceny nieruchomości.</w:t>
            </w:r>
          </w:p>
        </w:tc>
      </w:tr>
      <w:tr w:rsidR="004F64CA" w:rsidRPr="001402B1" w14:paraId="70923D41" w14:textId="77777777" w:rsidTr="0009063E">
        <w:tc>
          <w:tcPr>
            <w:tcW w:w="851" w:type="dxa"/>
            <w:vAlign w:val="center"/>
          </w:tcPr>
          <w:p w14:paraId="267DCA67"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C5</w:t>
            </w:r>
          </w:p>
        </w:tc>
        <w:tc>
          <w:tcPr>
            <w:tcW w:w="8819" w:type="dxa"/>
            <w:vAlign w:val="center"/>
          </w:tcPr>
          <w:p w14:paraId="42CA93BB"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Pozyskanie przez studentów podstawowej wiedzy niezbędnej do dalszego przygotowywania się do zawodu pośrednika w obrocie nieruchomościami, zarządcy nieruchomości i rzeczoznawcy majątkowego.</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1E4A125" w14:textId="77777777" w:rsidTr="0071620A">
        <w:tc>
          <w:tcPr>
            <w:tcW w:w="1701"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5E6E85">
        <w:tc>
          <w:tcPr>
            <w:tcW w:w="1701"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6096" w:type="dxa"/>
          </w:tcPr>
          <w:p w14:paraId="51B95A9D" w14:textId="0F4D8755"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tc>
        <w:tc>
          <w:tcPr>
            <w:tcW w:w="1873"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5E6E85">
        <w:tc>
          <w:tcPr>
            <w:tcW w:w="1701"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725CF653" w14:textId="2C4D8D30"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tc>
        <w:tc>
          <w:tcPr>
            <w:tcW w:w="1873" w:type="dxa"/>
          </w:tcPr>
          <w:p w14:paraId="45A1C96E" w14:textId="5F72D820"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5C6F6FE" w14:textId="4CB63CEC"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K_U05</w:t>
            </w:r>
          </w:p>
          <w:p w14:paraId="7362B314" w14:textId="4E66B73E" w:rsidR="00A9320C" w:rsidRPr="009C54AE"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85747A" w:rsidRPr="009C54AE" w14:paraId="34BFD8E1" w14:textId="77777777" w:rsidTr="005E6E85">
        <w:tc>
          <w:tcPr>
            <w:tcW w:w="1701"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5F1A9B55" w14:textId="4361858F"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A9320C">
              <w:rPr>
                <w:rFonts w:ascii="Corbel" w:hAnsi="Corbel"/>
                <w:b w:val="0"/>
                <w:smallCaps w:val="0"/>
                <w:szCs w:val="24"/>
              </w:rPr>
              <w:t xml:space="preserve">otrafi </w:t>
            </w:r>
            <w:r w:rsidR="00A9320C" w:rsidRPr="00A9320C">
              <w:rPr>
                <w:rFonts w:ascii="Corbel" w:hAnsi="Corbel"/>
                <w:b w:val="0"/>
                <w:smallCaps w:val="0"/>
                <w:szCs w:val="24"/>
              </w:rPr>
              <w:t xml:space="preserve">komunikować się z otoczeniem z użyciem specjalistycznej terminologii z zakresu </w:t>
            </w:r>
            <w:r w:rsidR="00A9320C">
              <w:rPr>
                <w:rFonts w:ascii="Corbel" w:hAnsi="Corbel"/>
                <w:b w:val="0"/>
                <w:smallCaps w:val="0"/>
                <w:szCs w:val="24"/>
              </w:rPr>
              <w:t xml:space="preserve">gospodarki </w:t>
            </w:r>
            <w:r w:rsidR="00E90C8B">
              <w:rPr>
                <w:rFonts w:ascii="Corbel" w:hAnsi="Corbel"/>
                <w:b w:val="0"/>
                <w:smallCaps w:val="0"/>
                <w:szCs w:val="24"/>
              </w:rPr>
              <w:t>nieruchomościami</w:t>
            </w:r>
            <w:r w:rsidR="00A9320C">
              <w:rPr>
                <w:rFonts w:ascii="Corbel" w:hAnsi="Corbel"/>
                <w:b w:val="0"/>
                <w:smallCaps w:val="0"/>
                <w:szCs w:val="24"/>
              </w:rPr>
              <w:t xml:space="preserve"> oraz </w:t>
            </w:r>
            <w:r w:rsidR="00A9320C" w:rsidRPr="00A9320C">
              <w:rPr>
                <w:rFonts w:ascii="Corbel" w:hAnsi="Corbel"/>
                <w:b w:val="0"/>
                <w:smallCaps w:val="0"/>
                <w:szCs w:val="24"/>
              </w:rPr>
              <w:t>przygotować prace pisemne oraz wystąpienia dotyczą</w:t>
            </w:r>
            <w:r w:rsidR="00A9320C">
              <w:rPr>
                <w:rFonts w:ascii="Corbel" w:hAnsi="Corbel"/>
                <w:b w:val="0"/>
                <w:smallCaps w:val="0"/>
                <w:szCs w:val="24"/>
              </w:rPr>
              <w:t xml:space="preserve">ce funkcjonowania rynku </w:t>
            </w:r>
            <w:r w:rsidR="004F5496">
              <w:rPr>
                <w:rFonts w:ascii="Corbel" w:hAnsi="Corbel"/>
                <w:b w:val="0"/>
                <w:smallCaps w:val="0"/>
                <w:szCs w:val="24"/>
              </w:rPr>
              <w:t>nieruchomości</w:t>
            </w:r>
            <w:r>
              <w:rPr>
                <w:rFonts w:ascii="Corbel" w:hAnsi="Corbel"/>
                <w:b w:val="0"/>
                <w:smallCaps w:val="0"/>
                <w:szCs w:val="24"/>
              </w:rPr>
              <w:t>.</w:t>
            </w:r>
          </w:p>
        </w:tc>
        <w:tc>
          <w:tcPr>
            <w:tcW w:w="1873" w:type="dxa"/>
          </w:tcPr>
          <w:p w14:paraId="7A476D08" w14:textId="53DA3212"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K_U07</w:t>
            </w:r>
          </w:p>
          <w:p w14:paraId="212EBE79" w14:textId="0A1B689B"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K_U08</w:t>
            </w:r>
          </w:p>
          <w:p w14:paraId="1AC5E3C6" w14:textId="77777777" w:rsidR="0085747A" w:rsidRPr="009C54AE" w:rsidRDefault="0085747A" w:rsidP="00042C67">
            <w:pPr>
              <w:pStyle w:val="Punktygwne"/>
              <w:spacing w:before="0" w:after="0"/>
              <w:jc w:val="center"/>
              <w:rPr>
                <w:rFonts w:ascii="Corbel" w:hAnsi="Corbel"/>
                <w:b w:val="0"/>
                <w:smallCaps w:val="0"/>
                <w:szCs w:val="24"/>
              </w:rPr>
            </w:pPr>
          </w:p>
        </w:tc>
      </w:tr>
      <w:tr w:rsidR="00A9320C" w:rsidRPr="009C54AE" w14:paraId="2BBDCA9E" w14:textId="77777777" w:rsidTr="005E6E85">
        <w:tc>
          <w:tcPr>
            <w:tcW w:w="1701"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6096" w:type="dxa"/>
          </w:tcPr>
          <w:p w14:paraId="3D1F988B" w14:textId="604868C5" w:rsidR="00A9320C"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U</w:t>
            </w:r>
            <w:r w:rsidR="004F5496">
              <w:rPr>
                <w:rFonts w:ascii="Corbel" w:hAnsi="Corbel"/>
                <w:b w:val="0"/>
                <w:smallCaps w:val="0"/>
                <w:szCs w:val="24"/>
              </w:rPr>
              <w:t xml:space="preserve">mie </w:t>
            </w:r>
            <w:r w:rsidR="004F5496" w:rsidRPr="004F5496">
              <w:rPr>
                <w:rFonts w:ascii="Corbel" w:hAnsi="Corbel"/>
                <w:b w:val="0"/>
                <w:smallCaps w:val="0"/>
                <w:szCs w:val="24"/>
              </w:rPr>
              <w:t>planować i organizować pracę indywidualną oraz w zespole</w:t>
            </w:r>
            <w:r w:rsidR="004F5496">
              <w:rPr>
                <w:rFonts w:ascii="Corbel" w:hAnsi="Corbel"/>
                <w:b w:val="0"/>
                <w:smallCaps w:val="0"/>
                <w:szCs w:val="24"/>
              </w:rPr>
              <w:t>.</w:t>
            </w:r>
            <w:r w:rsidR="004F5496" w:rsidRPr="004F5496">
              <w:rPr>
                <w:rFonts w:ascii="Corbel" w:hAnsi="Corbel"/>
                <w:b w:val="0"/>
                <w:smallCaps w:val="0"/>
                <w:szCs w:val="24"/>
              </w:rPr>
              <w:t xml:space="preserve"> Współdziała w zespole i podej</w:t>
            </w:r>
            <w:r w:rsidR="004F5496">
              <w:rPr>
                <w:rFonts w:ascii="Corbel" w:hAnsi="Corbel"/>
                <w:b w:val="0"/>
                <w:smallCaps w:val="0"/>
                <w:szCs w:val="24"/>
              </w:rPr>
              <w:t>muje</w:t>
            </w:r>
            <w:r w:rsidR="004F5496" w:rsidRPr="004F5496">
              <w:rPr>
                <w:rFonts w:ascii="Corbel" w:hAnsi="Corbel"/>
                <w:b w:val="0"/>
                <w:smallCaps w:val="0"/>
                <w:szCs w:val="24"/>
              </w:rPr>
              <w:t xml:space="preserve"> w nim wiodącą rolę w zakresie realizacji zadań dotyczących gospoda</w:t>
            </w:r>
            <w:r w:rsidR="004F5496">
              <w:rPr>
                <w:rFonts w:ascii="Corbel" w:hAnsi="Corbel"/>
                <w:b w:val="0"/>
                <w:smallCaps w:val="0"/>
                <w:szCs w:val="24"/>
              </w:rPr>
              <w:t>rki</w:t>
            </w:r>
            <w:r w:rsidR="004F5496" w:rsidRPr="004F5496">
              <w:rPr>
                <w:rFonts w:ascii="Corbel" w:hAnsi="Corbel"/>
                <w:b w:val="0"/>
                <w:smallCaps w:val="0"/>
                <w:szCs w:val="24"/>
              </w:rPr>
              <w:t xml:space="preserve"> nieruchomościami i funkcjonowania rynku nieruchomości.</w:t>
            </w:r>
          </w:p>
        </w:tc>
        <w:tc>
          <w:tcPr>
            <w:tcW w:w="1873" w:type="dxa"/>
          </w:tcPr>
          <w:p w14:paraId="43F77D49" w14:textId="74BFAC56"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K_U10</w:t>
            </w:r>
          </w:p>
          <w:p w14:paraId="002BCF56" w14:textId="1387269F"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K_U11</w:t>
            </w:r>
          </w:p>
        </w:tc>
      </w:tr>
      <w:tr w:rsidR="004F5496" w:rsidRPr="009C54AE" w14:paraId="26D2786A" w14:textId="77777777" w:rsidTr="005E6E85">
        <w:tc>
          <w:tcPr>
            <w:tcW w:w="1701" w:type="dxa"/>
          </w:tcPr>
          <w:p w14:paraId="75E23171" w14:textId="71069E87" w:rsidR="004F5496"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5</w:t>
            </w:r>
          </w:p>
        </w:tc>
        <w:tc>
          <w:tcPr>
            <w:tcW w:w="6096" w:type="dxa"/>
          </w:tcPr>
          <w:p w14:paraId="018FA28F" w14:textId="3DAD7B57" w:rsidR="004F5496"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4F5496">
              <w:rPr>
                <w:rFonts w:ascii="Corbel" w:hAnsi="Corbel"/>
                <w:b w:val="0"/>
                <w:smallCaps w:val="0"/>
                <w:szCs w:val="24"/>
              </w:rPr>
              <w:t xml:space="preserve">osiada zdolność </w:t>
            </w:r>
            <w:r w:rsidR="004F5496" w:rsidRPr="004F5496">
              <w:rPr>
                <w:rFonts w:ascii="Corbel" w:hAnsi="Corbel"/>
                <w:b w:val="0"/>
                <w:smallCaps w:val="0"/>
                <w:szCs w:val="24"/>
              </w:rPr>
              <w:t>krytycznej oceny posiadanej wiedzy oraz ciągłego poznawania zmieniających się warunków gospodarowania</w:t>
            </w:r>
            <w:r w:rsidR="004F5496">
              <w:rPr>
                <w:rFonts w:ascii="Corbel" w:hAnsi="Corbel"/>
                <w:b w:val="0"/>
                <w:smallCaps w:val="0"/>
                <w:szCs w:val="24"/>
              </w:rPr>
              <w:t xml:space="preserve"> nieruchomościami w kontekście </w:t>
            </w:r>
            <w:r w:rsidR="004F5496" w:rsidRPr="004F5496">
              <w:rPr>
                <w:rFonts w:ascii="Corbel" w:hAnsi="Corbel"/>
                <w:b w:val="0"/>
                <w:smallCaps w:val="0"/>
                <w:szCs w:val="24"/>
              </w:rPr>
              <w:t xml:space="preserve">problemów praktycznych </w:t>
            </w:r>
            <w:r w:rsidR="004F5496">
              <w:rPr>
                <w:rFonts w:ascii="Corbel" w:hAnsi="Corbel"/>
                <w:b w:val="0"/>
                <w:smallCaps w:val="0"/>
                <w:szCs w:val="24"/>
              </w:rPr>
              <w:t>jakie realizują podmioty działające na rynku nie</w:t>
            </w:r>
            <w:r w:rsidR="00334DAF">
              <w:rPr>
                <w:rFonts w:ascii="Corbel" w:hAnsi="Corbel"/>
                <w:b w:val="0"/>
                <w:smallCaps w:val="0"/>
                <w:szCs w:val="24"/>
              </w:rPr>
              <w:t>ruchomości</w:t>
            </w:r>
            <w:r>
              <w:rPr>
                <w:rFonts w:ascii="Corbel" w:hAnsi="Corbel"/>
                <w:b w:val="0"/>
                <w:smallCaps w:val="0"/>
                <w:szCs w:val="24"/>
              </w:rPr>
              <w:t>.</w:t>
            </w:r>
          </w:p>
        </w:tc>
        <w:tc>
          <w:tcPr>
            <w:tcW w:w="1873" w:type="dxa"/>
          </w:tcPr>
          <w:p w14:paraId="41282A9F" w14:textId="78434A3D" w:rsidR="00334DAF"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K_K01</w:t>
            </w:r>
          </w:p>
          <w:p w14:paraId="7E5BE7A4" w14:textId="0017B23C" w:rsidR="004F5496" w:rsidRPr="009C54AE"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K_K02</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90C8B" w:rsidRPr="00E90C8B" w14:paraId="532F2B16" w14:textId="77777777" w:rsidTr="0009063E">
        <w:tc>
          <w:tcPr>
            <w:tcW w:w="9639"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09063E">
        <w:tc>
          <w:tcPr>
            <w:tcW w:w="9639" w:type="dxa"/>
          </w:tcPr>
          <w:p w14:paraId="5394DA69"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Pojęcie i cele gospodarki nieruchomościami. Zasób nieruchomości. Organy stanowiące i wykonawcze w gospodarce nieruchomościami.</w:t>
            </w:r>
          </w:p>
        </w:tc>
      </w:tr>
      <w:tr w:rsidR="00E90C8B" w:rsidRPr="00E90C8B" w14:paraId="1F44B629" w14:textId="77777777" w:rsidTr="0009063E">
        <w:tc>
          <w:tcPr>
            <w:tcW w:w="9639" w:type="dxa"/>
          </w:tcPr>
          <w:p w14:paraId="5E16799F"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Poj</w:t>
            </w:r>
            <w:r w:rsidRPr="00E90C8B">
              <w:rPr>
                <w:rFonts w:ascii="Corbel" w:eastAsia="TimesNewRoman" w:hAnsi="Corbel" w:cs="TimesNewRoman"/>
                <w:sz w:val="24"/>
                <w:szCs w:val="24"/>
                <w:lang w:eastAsia="pl-PL"/>
              </w:rPr>
              <w:t>ę</w:t>
            </w:r>
            <w:r w:rsidRPr="00E90C8B">
              <w:rPr>
                <w:rFonts w:ascii="Corbel" w:eastAsia="Times New Roman" w:hAnsi="Corbel"/>
                <w:sz w:val="24"/>
                <w:szCs w:val="24"/>
                <w:lang w:eastAsia="pl-PL"/>
              </w:rPr>
              <w:t>cie, klasyfikacja i cechy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4F73DF40" w14:textId="77777777" w:rsidTr="0009063E">
        <w:tc>
          <w:tcPr>
            <w:tcW w:w="9639" w:type="dxa"/>
          </w:tcPr>
          <w:p w14:paraId="2A0CFDDD"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Formy gospodarowania nieruchomościami.</w:t>
            </w:r>
          </w:p>
        </w:tc>
      </w:tr>
      <w:tr w:rsidR="00E90C8B" w:rsidRPr="00E90C8B" w14:paraId="170497BC" w14:textId="77777777" w:rsidTr="0009063E">
        <w:tc>
          <w:tcPr>
            <w:tcW w:w="9639" w:type="dxa"/>
          </w:tcPr>
          <w:p w14:paraId="2B487D8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Rynek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 xml:space="preserve">ci i jego specyfika (z uwzględnieniem specyfiki lokalnego rynku nieruchomości). </w:t>
            </w:r>
          </w:p>
        </w:tc>
      </w:tr>
      <w:tr w:rsidR="00E90C8B" w:rsidRPr="00E90C8B" w14:paraId="2BCDF199" w14:textId="77777777" w:rsidTr="0009063E">
        <w:tc>
          <w:tcPr>
            <w:tcW w:w="9639" w:type="dxa"/>
          </w:tcPr>
          <w:p w14:paraId="263DCC2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Podmioty 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aj</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ce na rynku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05A74083" w14:textId="77777777" w:rsidTr="0009063E">
        <w:tc>
          <w:tcPr>
            <w:tcW w:w="9639" w:type="dxa"/>
          </w:tcPr>
          <w:p w14:paraId="16BA56F9"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Gospodarka nieruchomościami jako proces decyzyjny. Informacje, źródła informacji wykorzystywane w gospodarce nieruchomościami.</w:t>
            </w:r>
          </w:p>
        </w:tc>
      </w:tr>
      <w:tr w:rsidR="00E90C8B" w:rsidRPr="00E90C8B" w14:paraId="6EEBE89A" w14:textId="77777777" w:rsidTr="0009063E">
        <w:tc>
          <w:tcPr>
            <w:tcW w:w="9639" w:type="dxa"/>
          </w:tcPr>
          <w:p w14:paraId="7C62A1F3"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wyceny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28DE0FA0" w14:textId="77777777" w:rsidTr="0009063E">
        <w:tc>
          <w:tcPr>
            <w:tcW w:w="9639" w:type="dxa"/>
          </w:tcPr>
          <w:p w14:paraId="6B474990"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Podstawy prawne procesów inwestycyjnych na rynku nieruchomości (m.in. postępowanie podziałowe i podziałowo-scaleniowe, opłaty i podatki na rynku nieruchomości).</w:t>
            </w:r>
          </w:p>
        </w:tc>
      </w:tr>
      <w:tr w:rsidR="00E90C8B" w:rsidRPr="00E90C8B" w14:paraId="263D4FD2" w14:textId="77777777" w:rsidTr="0009063E">
        <w:tc>
          <w:tcPr>
            <w:tcW w:w="9639" w:type="dxa"/>
          </w:tcPr>
          <w:p w14:paraId="6A0A3FC5"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Proces inwestowania w nieruchomości.</w:t>
            </w:r>
          </w:p>
        </w:tc>
      </w:tr>
      <w:tr w:rsidR="00E90C8B" w:rsidRPr="00E90C8B" w14:paraId="44C882F5" w14:textId="77777777" w:rsidTr="0009063E">
        <w:tc>
          <w:tcPr>
            <w:tcW w:w="9639" w:type="dxa"/>
          </w:tcPr>
          <w:p w14:paraId="192BEA4E"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alno</w:t>
            </w:r>
            <w:r w:rsidRPr="00E90C8B">
              <w:rPr>
                <w:rFonts w:ascii="Corbel" w:eastAsia="TimesNewRoman" w:hAnsi="Corbel" w:cs="TimesNewRoman"/>
                <w:sz w:val="24"/>
                <w:szCs w:val="24"/>
                <w:lang w:eastAsia="pl-PL"/>
              </w:rPr>
              <w:t xml:space="preserve">ść </w:t>
            </w:r>
            <w:r w:rsidRPr="00E90C8B">
              <w:rPr>
                <w:rFonts w:ascii="Corbel" w:eastAsia="Times New Roman" w:hAnsi="Corbel"/>
                <w:sz w:val="24"/>
                <w:szCs w:val="24"/>
                <w:lang w:eastAsia="pl-PL"/>
              </w:rPr>
              <w:t>zawodowa w dziedzinie gospodarki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ciami</w:t>
            </w:r>
          </w:p>
        </w:tc>
      </w:tr>
      <w:tr w:rsidR="00E90C8B" w:rsidRPr="00E90C8B" w14:paraId="6185F4A7" w14:textId="77777777" w:rsidTr="0009063E">
        <w:tc>
          <w:tcPr>
            <w:tcW w:w="9639" w:type="dxa"/>
          </w:tcPr>
          <w:p w14:paraId="5B54DBED"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zarz</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dzania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r w:rsidRPr="00E90C8B">
              <w:rPr>
                <w:rFonts w:ascii="Corbel" w:eastAsia="TimesNewRoman" w:hAnsi="Corbel" w:cs="TimesNewRoman"/>
                <w:sz w:val="24"/>
                <w:szCs w:val="24"/>
                <w:lang w:eastAsia="pl-PL"/>
              </w:rPr>
              <w:t xml:space="preserve">ą </w:t>
            </w:r>
            <w:r w:rsidRPr="00E90C8B">
              <w:rPr>
                <w:rFonts w:ascii="Corbel" w:eastAsia="Times New Roman" w:hAnsi="Corbel"/>
                <w:sz w:val="24"/>
                <w:szCs w:val="24"/>
                <w:lang w:eastAsia="pl-PL"/>
              </w:rPr>
              <w:t>(</w:t>
            </w:r>
            <w:r w:rsidRPr="00E90C8B">
              <w:rPr>
                <w:rFonts w:ascii="Corbel" w:eastAsia="Times New Roman" w:hAnsi="Corbel"/>
                <w:i/>
                <w:sz w:val="24"/>
                <w:szCs w:val="24"/>
                <w:lang w:eastAsia="pl-PL"/>
              </w:rPr>
              <w:t>case study</w:t>
            </w:r>
            <w:r w:rsidRPr="00E90C8B">
              <w:rPr>
                <w:rFonts w:ascii="Corbel" w:eastAsia="Times New Roman" w:hAnsi="Corbel"/>
                <w:sz w:val="24"/>
                <w:szCs w:val="24"/>
                <w:lang w:eastAsia="pl-PL"/>
              </w:rPr>
              <w:t>)</w:t>
            </w:r>
          </w:p>
        </w:tc>
      </w:tr>
      <w:tr w:rsidR="00E90C8B" w:rsidRPr="00E90C8B" w14:paraId="1D4D600D" w14:textId="77777777" w:rsidTr="0009063E">
        <w:tc>
          <w:tcPr>
            <w:tcW w:w="9639" w:type="dxa"/>
          </w:tcPr>
          <w:p w14:paraId="6B079789"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Obrót nieruchomościami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2A741122" w14:textId="77777777" w:rsidTr="00E90C8B">
        <w:tc>
          <w:tcPr>
            <w:tcW w:w="1961" w:type="dxa"/>
            <w:vAlign w:val="center"/>
          </w:tcPr>
          <w:p w14:paraId="604C16D4" w14:textId="10515A1C"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Ek_05</w:t>
            </w:r>
          </w:p>
        </w:tc>
        <w:tc>
          <w:tcPr>
            <w:tcW w:w="5851" w:type="dxa"/>
            <w:vAlign w:val="center"/>
          </w:tcPr>
          <w:p w14:paraId="6214B342"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F2DC890"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lastRenderedPageBreak/>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22F0DC02"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3FA11143"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7B6422BB" w:rsidR="0085747A" w:rsidRPr="009C54AE" w:rsidRDefault="00B63E14" w:rsidP="00E90C8B">
            <w:pPr>
              <w:pStyle w:val="Akapitzlist"/>
              <w:spacing w:after="0" w:line="240" w:lineRule="auto"/>
              <w:ind w:left="0"/>
              <w:jc w:val="center"/>
              <w:rPr>
                <w:rFonts w:ascii="Corbel" w:hAnsi="Corbel"/>
                <w:sz w:val="24"/>
                <w:szCs w:val="24"/>
              </w:rPr>
            </w:pPr>
            <w:r>
              <w:rPr>
                <w:rFonts w:ascii="Corbel" w:hAnsi="Corbel"/>
                <w:sz w:val="24"/>
                <w:szCs w:val="24"/>
              </w:rPr>
              <w:t>5</w:t>
            </w:r>
            <w:r w:rsidR="00E90C8B">
              <w:rPr>
                <w:rFonts w:ascii="Corbel" w:hAnsi="Corbel"/>
                <w:sz w:val="24"/>
                <w:szCs w:val="24"/>
              </w:rPr>
              <w:t>0</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F762C35"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96B62" w:rsidRPr="001402B1" w14:paraId="03FE658F" w14:textId="77777777" w:rsidTr="3F2C598C">
        <w:trPr>
          <w:trHeight w:val="397"/>
        </w:trPr>
        <w:tc>
          <w:tcPr>
            <w:tcW w:w="5000" w:type="pct"/>
          </w:tcPr>
          <w:p w14:paraId="1D18176D" w14:textId="77777777" w:rsidR="00996B62" w:rsidRPr="00042C67" w:rsidRDefault="00996B62" w:rsidP="00042C67">
            <w:pPr>
              <w:spacing w:after="0" w:line="240" w:lineRule="auto"/>
              <w:jc w:val="both"/>
              <w:rPr>
                <w:rFonts w:ascii="Corbel" w:hAnsi="Corbel"/>
                <w:sz w:val="24"/>
                <w:szCs w:val="24"/>
              </w:rPr>
            </w:pPr>
            <w:r w:rsidRPr="00042C67">
              <w:rPr>
                <w:rFonts w:ascii="Corbel" w:hAnsi="Corbel"/>
                <w:sz w:val="24"/>
                <w:szCs w:val="24"/>
              </w:rPr>
              <w:t>Literatura podstawowa:</w:t>
            </w:r>
          </w:p>
          <w:p w14:paraId="40476CEA"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Dydenko J., Gospodarka nieruchomościami: zbiór przepisów, Wolters Kluwer Polska, Warszawa 2009.</w:t>
            </w:r>
          </w:p>
          <w:p w14:paraId="0F2A2F51" w14:textId="35E7F66E" w:rsidR="00996B62" w:rsidRPr="00566FFA" w:rsidRDefault="003001CE" w:rsidP="00042C67">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p w14:paraId="6065F5E3"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Niemczyk R., Gospodarka i obrót nieruchomościami, Difin, Warszawa 2009.</w:t>
            </w:r>
          </w:p>
          <w:p w14:paraId="4296FFE6" w14:textId="2C6FC0F6"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Szachułowicz J., Gospodarka nieruchomościami. Wydanie 2</w:t>
            </w:r>
            <w:r w:rsidR="003001CE">
              <w:rPr>
                <w:rFonts w:ascii="Corbel" w:hAnsi="Corbel"/>
                <w:sz w:val="24"/>
                <w:szCs w:val="24"/>
              </w:rPr>
              <w:t>,</w:t>
            </w:r>
            <w:r w:rsidRPr="00566FFA">
              <w:rPr>
                <w:rFonts w:ascii="Corbel" w:hAnsi="Corbel"/>
                <w:sz w:val="24"/>
                <w:szCs w:val="24"/>
              </w:rPr>
              <w:t xml:space="preserve"> W</w:t>
            </w:r>
            <w:r w:rsidR="003001CE">
              <w:rPr>
                <w:rFonts w:ascii="Corbel" w:hAnsi="Corbel"/>
                <w:sz w:val="24"/>
                <w:szCs w:val="24"/>
              </w:rPr>
              <w:t>ydawnictwo Prawnicze LexisNexis,</w:t>
            </w:r>
            <w:r w:rsidRPr="00566FFA">
              <w:rPr>
                <w:rFonts w:ascii="Corbel" w:hAnsi="Corbel"/>
                <w:sz w:val="24"/>
                <w:szCs w:val="24"/>
              </w:rPr>
              <w:t xml:space="preserve"> Warszawa 2005</w:t>
            </w:r>
          </w:p>
          <w:p w14:paraId="35E3ECC1" w14:textId="564A59FC" w:rsidR="00996B62" w:rsidRPr="00996B62" w:rsidRDefault="00996B62" w:rsidP="00042C67">
            <w:pPr>
              <w:pStyle w:val="Akapitzlist"/>
              <w:numPr>
                <w:ilvl w:val="0"/>
                <w:numId w:val="2"/>
              </w:numPr>
              <w:spacing w:after="0" w:line="240" w:lineRule="auto"/>
              <w:ind w:left="318" w:hanging="284"/>
              <w:jc w:val="both"/>
              <w:rPr>
                <w:rFonts w:ascii="Corbel" w:hAnsi="Corbel"/>
                <w:sz w:val="24"/>
                <w:szCs w:val="24"/>
              </w:rPr>
            </w:pPr>
            <w:r w:rsidRPr="00996B62">
              <w:rPr>
                <w:rFonts w:ascii="Corbel" w:hAnsi="Corbel"/>
                <w:sz w:val="24"/>
                <w:szCs w:val="24"/>
              </w:rPr>
              <w:t>Źróbek S., Źróbek R, Kuryj J., Gospodarka nieruchomościami z komentarzem do wybranych procedur, Wydawnictwo Gall, Katowice 2012</w:t>
            </w:r>
            <w:r w:rsidR="003001CE">
              <w:rPr>
                <w:rFonts w:ascii="Corbel" w:hAnsi="Corbel"/>
                <w:sz w:val="24"/>
                <w:szCs w:val="24"/>
              </w:rPr>
              <w:t>.</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t xml:space="preserve">Literatura uzupełniająca: </w:t>
            </w:r>
          </w:p>
          <w:p w14:paraId="5566F4E4" w14:textId="7D6AF05C"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Bauta-Szostak J., Bogdański B., Nieruchomości: sprzedaż, najem, dzierżawa, Difin</w:t>
            </w:r>
            <w:r w:rsidR="003001CE">
              <w:rPr>
                <w:rFonts w:ascii="Corbel" w:hAnsi="Corbel"/>
                <w:b w:val="0"/>
                <w:smallCaps w:val="0"/>
                <w:szCs w:val="24"/>
              </w:rPr>
              <w:t>,</w:t>
            </w:r>
            <w:r w:rsidRPr="00566FFA">
              <w:rPr>
                <w:rFonts w:ascii="Corbel" w:hAnsi="Corbel"/>
                <w:b w:val="0"/>
                <w:smallCaps w:val="0"/>
                <w:szCs w:val="24"/>
              </w:rPr>
              <w:t xml:space="preserve"> Warszawa 2010.</w:t>
            </w:r>
          </w:p>
          <w:p w14:paraId="69CDA884" w14:textId="77777777"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Bryx M. (red.), Wprowadzenie do zarządzania nieruchomością, Poltext, Warszawa 2008.</w:t>
            </w:r>
          </w:p>
          <w:p w14:paraId="0AD1604F" w14:textId="015C40D4" w:rsidR="00996B62" w:rsidRPr="001402B1" w:rsidRDefault="00996B62" w:rsidP="3F2C598C">
            <w:pPr>
              <w:pStyle w:val="Punktygwne"/>
              <w:numPr>
                <w:ilvl w:val="0"/>
                <w:numId w:val="3"/>
              </w:numPr>
              <w:spacing w:before="0" w:after="0"/>
              <w:ind w:left="318" w:hanging="284"/>
              <w:jc w:val="both"/>
              <w:rPr>
                <w:rFonts w:ascii="Corbel" w:hAnsi="Corbel"/>
                <w:b w:val="0"/>
                <w:smallCaps w:val="0"/>
                <w:sz w:val="22"/>
                <w:lang w:eastAsia="pl-PL"/>
              </w:rPr>
            </w:pPr>
            <w:r w:rsidRPr="3F2C598C">
              <w:rPr>
                <w:rFonts w:ascii="Corbel" w:hAnsi="Corbel"/>
                <w:b w:val="0"/>
                <w:smallCaps w:val="0"/>
              </w:rPr>
              <w:lastRenderedPageBreak/>
              <w:t xml:space="preserve">Wierzbowski </w:t>
            </w:r>
            <w:r w:rsidR="185D413A" w:rsidRPr="3F2C598C">
              <w:rPr>
                <w:rFonts w:ascii="Corbel" w:hAnsi="Corbel"/>
                <w:b w:val="0"/>
                <w:smallCaps w:val="0"/>
              </w:rPr>
              <w:t>B., Gospodarka nieruchomościami,</w:t>
            </w:r>
            <w:r w:rsidRPr="3F2C598C">
              <w:rPr>
                <w:rFonts w:ascii="Corbel" w:hAnsi="Corbel"/>
                <w:b w:val="0"/>
                <w:smallCaps w:val="0"/>
              </w:rPr>
              <w:t xml:space="preserve"> LexisNexis,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ADD8B" w14:textId="77777777" w:rsidR="00B44327" w:rsidRDefault="00B44327" w:rsidP="00C16ABF">
      <w:pPr>
        <w:spacing w:after="0" w:line="240" w:lineRule="auto"/>
      </w:pPr>
      <w:r>
        <w:separator/>
      </w:r>
    </w:p>
  </w:endnote>
  <w:endnote w:type="continuationSeparator" w:id="0">
    <w:p w14:paraId="32CEFCBC" w14:textId="77777777" w:rsidR="00B44327" w:rsidRDefault="00B4432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FB85" w14:textId="77777777" w:rsidR="00B44327" w:rsidRDefault="00B44327" w:rsidP="00C16ABF">
      <w:pPr>
        <w:spacing w:after="0" w:line="240" w:lineRule="auto"/>
      </w:pPr>
      <w:r>
        <w:separator/>
      </w:r>
    </w:p>
  </w:footnote>
  <w:footnote w:type="continuationSeparator" w:id="0">
    <w:p w14:paraId="42502F11" w14:textId="77777777" w:rsidR="00B44327" w:rsidRDefault="00B44327"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3647716">
    <w:abstractNumId w:val="1"/>
  </w:num>
  <w:num w:numId="2" w16cid:durableId="884871914">
    <w:abstractNumId w:val="2"/>
  </w:num>
  <w:num w:numId="3" w16cid:durableId="193262187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7723C"/>
    <w:rsid w:val="00192F37"/>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E01B5"/>
    <w:rsid w:val="004F1551"/>
    <w:rsid w:val="004F5496"/>
    <w:rsid w:val="004F55A3"/>
    <w:rsid w:val="004F64CA"/>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47C64"/>
    <w:rsid w:val="00647FA8"/>
    <w:rsid w:val="00650C5F"/>
    <w:rsid w:val="00654934"/>
    <w:rsid w:val="006620D9"/>
    <w:rsid w:val="00671958"/>
    <w:rsid w:val="00675843"/>
    <w:rsid w:val="00696477"/>
    <w:rsid w:val="006D050F"/>
    <w:rsid w:val="006D6139"/>
    <w:rsid w:val="006E3F00"/>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30F0"/>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320C"/>
    <w:rsid w:val="00A97DE1"/>
    <w:rsid w:val="00AB053C"/>
    <w:rsid w:val="00AB6194"/>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44327"/>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0AD0"/>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60BB"/>
    <w:rsid w:val="00EA00F6"/>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B8DD9-D029-48BA-9BC9-D18AA8A3C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6D950-21F3-463E-A596-8A01C4C64AF4}">
  <ds:schemaRefs>
    <ds:schemaRef ds:uri="http://schemas.openxmlformats.org/officeDocument/2006/bibliography"/>
  </ds:schemaRefs>
</ds:datastoreItem>
</file>

<file path=customXml/itemProps4.xml><?xml version="1.0" encoding="utf-8"?>
<ds:datastoreItem xmlns:ds="http://schemas.openxmlformats.org/officeDocument/2006/customXml" ds:itemID="{36B16767-34F2-4D1C-8497-92E923A0D9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5</Pages>
  <Words>1061</Words>
  <Characters>6372</Characters>
  <Application>Microsoft Office Word</Application>
  <DocSecurity>0</DocSecurity>
  <Lines>53</Lines>
  <Paragraphs>14</Paragraphs>
  <ScaleCrop>false</ScaleCrop>
  <Company>Hewlett-Packard Company</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Szara Katarzyna</cp:lastModifiedBy>
  <cp:revision>14</cp:revision>
  <cp:lastPrinted>2019-02-06T12:12:00Z</cp:lastPrinted>
  <dcterms:created xsi:type="dcterms:W3CDTF">2020-11-16T08:39:00Z</dcterms:created>
  <dcterms:modified xsi:type="dcterms:W3CDTF">2022-05-31T18:15:00Z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